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178"/>
        </w:tabs>
        <w:jc w:val="left"/>
        <w:rPr>
          <w:rFonts w:ascii="新宋体" w:hAnsi="新宋体" w:eastAsia="新宋体" w:cs="宋体"/>
          <w:b/>
          <w:color w:val="000000"/>
          <w:szCs w:val="24"/>
        </w:rPr>
      </w:pPr>
      <w:r>
        <w:rPr>
          <w:rFonts w:hint="eastAsia" w:ascii="新宋体" w:hAnsi="新宋体" w:eastAsia="新宋体" w:cs="宋体"/>
          <w:b/>
          <w:color w:val="000000"/>
          <w:szCs w:val="24"/>
        </w:rPr>
        <w:t>附件一：</w:t>
      </w:r>
    </w:p>
    <w:p>
      <w:pPr>
        <w:widowControl/>
        <w:tabs>
          <w:tab w:val="left" w:pos="3178"/>
        </w:tabs>
        <w:jc w:val="center"/>
        <w:rPr>
          <w:rFonts w:ascii="新宋体" w:hAnsi="新宋体" w:eastAsia="新宋体" w:cs="宋体"/>
          <w:b/>
          <w:color w:val="000000"/>
          <w:sz w:val="28"/>
          <w:szCs w:val="24"/>
        </w:rPr>
      </w:pPr>
      <w:r>
        <w:rPr>
          <w:rFonts w:hint="eastAsia" w:ascii="新宋体" w:hAnsi="新宋体" w:eastAsia="新宋体" w:cs="宋体"/>
          <w:b/>
          <w:color w:val="000000"/>
          <w:sz w:val="28"/>
          <w:szCs w:val="24"/>
        </w:rPr>
        <w:t>综合评分表</w:t>
      </w:r>
    </w:p>
    <w:tbl>
      <w:tblPr>
        <w:tblStyle w:val="5"/>
        <w:tblW w:w="93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932"/>
        <w:gridCol w:w="5197"/>
        <w:gridCol w:w="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项目</w:t>
            </w:r>
          </w:p>
        </w:tc>
        <w:tc>
          <w:tcPr>
            <w:tcW w:w="7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评价要点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满分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价格评审</w:t>
            </w:r>
          </w:p>
        </w:tc>
        <w:tc>
          <w:tcPr>
            <w:tcW w:w="7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价格分=流式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单个抗体价格分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  <w:lang w:eastAsia="zh-CN"/>
              </w:rPr>
              <w:t>单个</w:t>
            </w:r>
            <w:r>
              <w:rPr>
                <w:rFonts w:hint="eastAsia"/>
                <w:sz w:val="18"/>
                <w:szCs w:val="18"/>
              </w:rPr>
              <w:t>基因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价格分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注：1.依据临床提供往年送检数据统计，分值比例标准：流式</w:t>
            </w:r>
            <w:r>
              <w:rPr>
                <w:rFonts w:hint="eastAsia"/>
                <w:sz w:val="18"/>
                <w:szCs w:val="18"/>
                <w:lang w:eastAsia="zh-CN"/>
              </w:rPr>
              <w:t>检测</w:t>
            </w:r>
            <w:r>
              <w:rPr>
                <w:rFonts w:hint="eastAsia"/>
                <w:sz w:val="18"/>
                <w:szCs w:val="18"/>
              </w:rPr>
              <w:t>分值14分（单个抗体价格最低得14分，</w:t>
            </w:r>
            <w:r>
              <w:rPr>
                <w:rFonts w:hint="eastAsia"/>
                <w:sz w:val="18"/>
                <w:szCs w:val="18"/>
                <w:lang w:eastAsia="zh-CN"/>
              </w:rPr>
              <w:t>价格从低到高</w:t>
            </w:r>
            <w:r>
              <w:rPr>
                <w:rFonts w:hint="eastAsia"/>
                <w:sz w:val="18"/>
                <w:szCs w:val="18"/>
              </w:rPr>
              <w:t>依次减4分），基因分值6分（单个基因价格最低得6分，</w:t>
            </w:r>
            <w:r>
              <w:rPr>
                <w:rFonts w:hint="eastAsia"/>
                <w:sz w:val="18"/>
                <w:szCs w:val="18"/>
                <w:lang w:eastAsia="zh-CN"/>
              </w:rPr>
              <w:t>价格从低到高</w:t>
            </w:r>
            <w:r>
              <w:rPr>
                <w:rFonts w:hint="eastAsia"/>
                <w:sz w:val="18"/>
                <w:szCs w:val="18"/>
              </w:rPr>
              <w:t>依次减2分），总计20分。</w:t>
            </w:r>
          </w:p>
          <w:p>
            <w:pPr>
              <w:pStyle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2.单个抗体价格=流式应标总价÷抗体总数，单个基因价格同理。</w:t>
            </w:r>
          </w:p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3.流式以单个抗体为竞价标准，请竞价单位标注清楚抗体个数，举例：流式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部分</w:t>
            </w:r>
            <w:r>
              <w:rPr>
                <w:rFonts w:hint="eastAsia"/>
                <w:sz w:val="18"/>
                <w:szCs w:val="18"/>
              </w:rPr>
              <w:t>通过抗体单价比价打10分，基因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部分</w:t>
            </w:r>
            <w:r>
              <w:rPr>
                <w:rFonts w:hint="eastAsia"/>
                <w:sz w:val="18"/>
                <w:szCs w:val="18"/>
              </w:rPr>
              <w:t>通过价格打4分，那么价格分值应该是10+4＝14分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相关业绩</w:t>
            </w:r>
          </w:p>
        </w:tc>
        <w:tc>
          <w:tcPr>
            <w:tcW w:w="7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提供近2年开展或完成的同类案例合同，每个有效案例得1分，最多得2分。（需附合同关键页，每个合作单位最多计算一个有效案例）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人员资质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提供本项目相关关键技术人员名单，副高级（含）及以上职称、注册为本单位的职业医生资质证书复印件,每个证书2分，此项最高10分。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服务方案和服务能力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拟承担项目的实验室检测方案性能证明（如有获得国家发明专利的方案，主持或参与相关专家共识编写）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本项目相关国家（国际）级证书与对应项目列表，国家（国际）发明专利证书或者专家共识复印件，每个专利证书2分，每个专家共识执笔人或者通讯作者2分，每个专家共识参与者1分（多人参与同一个共识积1分），此项最高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拟承担项目室内质控记录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需提供复印件：</w:t>
            </w:r>
          </w:p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拟承担的项目均具备得10分，80%（含）-</w:t>
            </w:r>
            <w:r>
              <w:rPr>
                <w:rFonts w:hAnsi="宋体" w:cs="宋体"/>
                <w:sz w:val="18"/>
                <w:szCs w:val="18"/>
              </w:rPr>
              <w:t>100</w:t>
            </w:r>
            <w:r>
              <w:rPr>
                <w:rFonts w:hint="eastAsia" w:hAnsi="宋体" w:cs="宋体"/>
                <w:sz w:val="18"/>
                <w:szCs w:val="18"/>
              </w:rPr>
              <w:t>%具备得6分，80%以下项目具备得0分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拟承担项目关键仪器设备清单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需提供仪器设备清单，设备注册证复印件：</w:t>
            </w:r>
          </w:p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拟承担的项目均具备得10分，80%（含）-</w:t>
            </w:r>
            <w:r>
              <w:rPr>
                <w:rFonts w:hAnsi="宋体" w:cs="宋体"/>
                <w:sz w:val="18"/>
                <w:szCs w:val="18"/>
              </w:rPr>
              <w:t>100</w:t>
            </w:r>
            <w:r>
              <w:rPr>
                <w:rFonts w:hint="eastAsia" w:hAnsi="宋体" w:cs="宋体"/>
                <w:sz w:val="18"/>
                <w:szCs w:val="18"/>
              </w:rPr>
              <w:t>%具备得6分，80%以下项目具备得0分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报告周期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承诺报告所需时间越短得分越高：承诺全年接收标本，收到后常规标本（基因突变除外）3个工作日内出报告并且紧急标本小于1个自然日提供口头报告得8分，不能提供紧急报告得5分，不能全年接收标本得2分，常规标本报告时间超过3个工作日得0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冷链运输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有冷链运输措施得5分，无得0分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整体方案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针对本项目的服务方案：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1.整体服务流程图（此项最高2分）：有且完整合理2分，有但是缺项得1分，无0分。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提供在线咨询服务（此项最高4分）：报告人员有医师资质，有能力针对检测报告做出合理解释并提供建设性意见，得4分；报告人员有医师资质，但是提供的解释与建议不能满足临床需要，得2分；报告人员无医师资质或者有医师资质但是不能进行交流0分。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3.送检服务（2分）：有微信公众号查询服务得1分，有专人负责本院得1分，无0分。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4.报告三级审核制度（3分）：标本操作（有标本操作流程单）、检测人、审核人（医师资质），各1分，少1项或者1人二责、或者审核人没有医师资质均扣分。</w:t>
            </w:r>
          </w:p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个性化服务（4分）：①流式细胞术抗体种类多，投标单位提供的自有抗体表为依据，第一名得2分，第二名1分，以下0分；②投标方能够提供流式细胞术检测报告为证据，证明有能力根据需要免费加做标志得2分，加做标志收费得1分，不能按照需要加做者不得分。</w:t>
            </w:r>
          </w:p>
          <w:p>
            <w:pPr>
              <w:pStyle w:val="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hAnsi="宋体" w:cs="宋体"/>
                <w:b/>
                <w:bCs/>
                <w:sz w:val="18"/>
                <w:szCs w:val="18"/>
                <w:lang w:eastAsia="zh-CN"/>
              </w:rPr>
              <w:t>以上提供相关证书或承诺</w:t>
            </w:r>
            <w:r>
              <w:rPr>
                <w:rFonts w:hint="eastAsia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质量管理</w:t>
            </w:r>
          </w:p>
        </w:tc>
        <w:tc>
          <w:tcPr>
            <w:tcW w:w="5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重视检验前、检验中及检验后的质量管理，管理制度健全、规范、有效。</w:t>
            </w:r>
          </w:p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1.文件管理制度（1分），有完</w:t>
            </w:r>
            <w:bookmarkStart w:id="0" w:name="_GoBack"/>
            <w:bookmarkEnd w:id="0"/>
            <w:r>
              <w:rPr>
                <w:rFonts w:hint="eastAsia" w:hAnsi="宋体" w:cs="宋体"/>
                <w:sz w:val="18"/>
                <w:szCs w:val="18"/>
              </w:rPr>
              <w:t>整的质量手册、程序文件、标准操作程序和记录表格三级文件管理，得1分，少一级扣0.5，仅有一级与无0分。</w:t>
            </w:r>
          </w:p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2.质量手册（1分）：合理完整，覆盖一般管理、采购、人员、仪器、检测方法、检验过程、结果发布、纠正改进措施等，少一个扣0.2分，最低0分。</w:t>
            </w:r>
          </w:p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3.程序文件（2分）：合理完整，有文件控制程序、采购程序、人员培训与考核程序、仪器设备管理程序、样本接收管理程序、质量控制程序、结果报告程序、不符合项纠正措施等，少一个扣0.25分，最低0分。</w:t>
            </w:r>
          </w:p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4.标准操作程序（SOP）和记录表格（2分）：合理完整，有主要大型仪器（如流式细胞仪）操作SOP、主要大型仪器每日质控记录、离心机SOP、水浴箱SOP、移液器SOP与年检记录，每项0.4分，最低0分。</w:t>
            </w:r>
          </w:p>
          <w:p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5报告系统（4分）：①文字报告(2分）：要求包括送检信息、检测者信息、完整检测方案、仪器与软件型号、主要试剂厂家、主要操作方法、检测结果、检测结论、其他影响因素的说明，全面完整得2分，其中检测结论不明确，不能按照WHO标准提供具体疾病诊断以及诊断建议，扣1分，其他缺项扣0.5分，最低0分。②图片报告清晰显示所有信息（1分）：如流式细胞术报告要求彩色图片，并显示所有检测抗体及荧光素，同时显示肿瘤细胞（或者重点观察细胞）和对照细胞群，全面完整得1分，缺项不得分；分子学和药理学如果没有图片报告，改为比对检测的基因数量，种类最多者得1分，第二名0.5分，其余不得分。③分析详细全面（1分）：如流式细胞术使用6种以上设门方法，仔细观察每一群细胞，检测灵敏度要求达到0.01%，符合要求得1分，缺项不得分。分子学和药理学比较卫健委室间质评，参与1分，未参与不得分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合计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100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FlMTA3YTY1NDNhNTc0NjM3ZDM1NzBjZTM5Y2M1NDEifQ=="/>
  </w:docVars>
  <w:rsids>
    <w:rsidRoot w:val="00105FD0"/>
    <w:rsid w:val="00044877"/>
    <w:rsid w:val="000F7D04"/>
    <w:rsid w:val="00105FD0"/>
    <w:rsid w:val="001133F3"/>
    <w:rsid w:val="00151E42"/>
    <w:rsid w:val="00152533"/>
    <w:rsid w:val="00154CDF"/>
    <w:rsid w:val="00182EFF"/>
    <w:rsid w:val="001F4682"/>
    <w:rsid w:val="00206DCA"/>
    <w:rsid w:val="00214792"/>
    <w:rsid w:val="00244E5B"/>
    <w:rsid w:val="00282DF0"/>
    <w:rsid w:val="00292C19"/>
    <w:rsid w:val="002B39B9"/>
    <w:rsid w:val="002E771C"/>
    <w:rsid w:val="002F6DAF"/>
    <w:rsid w:val="002F7B66"/>
    <w:rsid w:val="003003C3"/>
    <w:rsid w:val="00377896"/>
    <w:rsid w:val="00397672"/>
    <w:rsid w:val="003B6994"/>
    <w:rsid w:val="003C3CC8"/>
    <w:rsid w:val="003D3F75"/>
    <w:rsid w:val="004033FC"/>
    <w:rsid w:val="00404809"/>
    <w:rsid w:val="004262A8"/>
    <w:rsid w:val="004319ED"/>
    <w:rsid w:val="0048653A"/>
    <w:rsid w:val="004D4666"/>
    <w:rsid w:val="00504135"/>
    <w:rsid w:val="00511523"/>
    <w:rsid w:val="005229C6"/>
    <w:rsid w:val="005942CF"/>
    <w:rsid w:val="00596922"/>
    <w:rsid w:val="005E19CE"/>
    <w:rsid w:val="00623BE5"/>
    <w:rsid w:val="0066385E"/>
    <w:rsid w:val="006E0093"/>
    <w:rsid w:val="00724A9A"/>
    <w:rsid w:val="00744C76"/>
    <w:rsid w:val="00763BDF"/>
    <w:rsid w:val="007B1A6B"/>
    <w:rsid w:val="007B6DBC"/>
    <w:rsid w:val="007F40E3"/>
    <w:rsid w:val="00823F5C"/>
    <w:rsid w:val="00840444"/>
    <w:rsid w:val="00861F21"/>
    <w:rsid w:val="00880B72"/>
    <w:rsid w:val="00882BFD"/>
    <w:rsid w:val="00892563"/>
    <w:rsid w:val="00911DD5"/>
    <w:rsid w:val="00912596"/>
    <w:rsid w:val="0096171C"/>
    <w:rsid w:val="0097534E"/>
    <w:rsid w:val="00995611"/>
    <w:rsid w:val="009A5992"/>
    <w:rsid w:val="009B674E"/>
    <w:rsid w:val="00A12333"/>
    <w:rsid w:val="00AA35FD"/>
    <w:rsid w:val="00B368F8"/>
    <w:rsid w:val="00BB7D0E"/>
    <w:rsid w:val="00BF3FC7"/>
    <w:rsid w:val="00C17D23"/>
    <w:rsid w:val="00CA0F52"/>
    <w:rsid w:val="00CD344F"/>
    <w:rsid w:val="00D14A54"/>
    <w:rsid w:val="00D20198"/>
    <w:rsid w:val="00D53E33"/>
    <w:rsid w:val="00D56D34"/>
    <w:rsid w:val="00D63238"/>
    <w:rsid w:val="00D90490"/>
    <w:rsid w:val="00DC2999"/>
    <w:rsid w:val="00DD46D9"/>
    <w:rsid w:val="00E87BCB"/>
    <w:rsid w:val="00EB7850"/>
    <w:rsid w:val="00EC5FCD"/>
    <w:rsid w:val="00EF3F7E"/>
    <w:rsid w:val="00EF6027"/>
    <w:rsid w:val="00F24CAB"/>
    <w:rsid w:val="00F6004B"/>
    <w:rsid w:val="00FA08E4"/>
    <w:rsid w:val="00FC5676"/>
    <w:rsid w:val="00FD6E50"/>
    <w:rsid w:val="00FF31DB"/>
    <w:rsid w:val="03754407"/>
    <w:rsid w:val="087250F6"/>
    <w:rsid w:val="0A2C251C"/>
    <w:rsid w:val="0AC03A74"/>
    <w:rsid w:val="11131E30"/>
    <w:rsid w:val="18FA3C51"/>
    <w:rsid w:val="1F997D4B"/>
    <w:rsid w:val="21901E84"/>
    <w:rsid w:val="22682C67"/>
    <w:rsid w:val="240C030B"/>
    <w:rsid w:val="2F310B5A"/>
    <w:rsid w:val="313308E4"/>
    <w:rsid w:val="331F032C"/>
    <w:rsid w:val="338A074D"/>
    <w:rsid w:val="41760C2B"/>
    <w:rsid w:val="4555389F"/>
    <w:rsid w:val="45EC24F9"/>
    <w:rsid w:val="51C25640"/>
    <w:rsid w:val="5F16318B"/>
    <w:rsid w:val="64A82713"/>
    <w:rsid w:val="6E08678C"/>
    <w:rsid w:val="74D477A0"/>
    <w:rsid w:val="7A477C7F"/>
    <w:rsid w:val="7D1067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rFonts w:ascii="宋体" w:hAnsi="Calibri" w:eastAsia="宋体" w:cs="Times New Roman"/>
      <w:kern w:val="0"/>
      <w:sz w:val="24"/>
      <w:szCs w:val="20"/>
    </w:rPr>
  </w:style>
  <w:style w:type="character" w:customStyle="1" w:styleId="10">
    <w:name w:val="font1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列出段落 Char"/>
    <w:link w:val="13"/>
    <w:qFormat/>
    <w:locked/>
    <w:uiPriority w:val="34"/>
    <w:rPr>
      <w:rFonts w:ascii="Calibri" w:hAnsi="Calibri"/>
    </w:rPr>
  </w:style>
  <w:style w:type="paragraph" w:styleId="13">
    <w:name w:val="List Paragraph"/>
    <w:basedOn w:val="1"/>
    <w:link w:val="12"/>
    <w:qFormat/>
    <w:uiPriority w:val="34"/>
    <w:pPr>
      <w:ind w:firstLine="420" w:firstLineChars="200"/>
    </w:pPr>
    <w:rPr>
      <w:rFonts w:ascii="Calibr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A21C2972-446B-488C-A236-8D946BA8AE37}">
  <ds:schemaRefs/>
</ds:datastoreItem>
</file>

<file path=customXml/itemProps2.xml><?xml version="1.0" encoding="utf-8"?>
<ds:datastoreItem xmlns:ds="http://schemas.openxmlformats.org/officeDocument/2006/customXml" ds:itemID="{DFD9F3B8-176B-4416-849B-F4F541C767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1922</Words>
  <Characters>2001</Characters>
  <Lines>14</Lines>
  <Paragraphs>4</Paragraphs>
  <TotalTime>60</TotalTime>
  <ScaleCrop>false</ScaleCrop>
  <LinksUpToDate>false</LinksUpToDate>
  <CharactersWithSpaces>2003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2022-12-29T03:52:00Z</dcterms:created>
  <dc:creator>微软用户</dc:creator>
  <cp:lastModifiedBy>Administrator</cp:lastModifiedBy>
  <dcterms:modified xsi:type="dcterms:W3CDTF">2023-01-19T00:43:25Z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B425AD456A8F4B4E9CF4D4ABD222FD75</vt:lpwstr>
  </property>
</Properties>
</file>